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59" w:lineRule="auto"/>
        <w:jc w:val="right"/>
        <w:rPr>
          <w:rFonts w:ascii="Segoe UI" w:eastAsiaTheme="minorHAnsi" w:hAnsi="Segoe UI" w:cs="Segoe UI"/>
          <w:b/>
          <w:sz w:val="32"/>
          <w:szCs w:val="32"/>
        </w:rPr>
      </w:pPr>
      <w:r>
        <w:rPr>
          <w:rFonts w:ascii="Segoe UI" w:eastAsiaTheme="minorHAnsi" w:hAnsi="Segoe UI" w:cs="Segoe UI"/>
          <w:b/>
          <w:sz w:val="32"/>
          <w:szCs w:val="32"/>
        </w:rPr>
        <w:t>ПРЕСС-РЕЛИЗ</w:t>
      </w:r>
    </w:p>
    <w:p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Segoe UI" w:eastAsiaTheme="minorHAnsi" w:hAnsi="Segoe UI" w:cs="Segoe UI"/>
          <w:b/>
          <w:sz w:val="24"/>
          <w:szCs w:val="24"/>
        </w:rPr>
        <w:t>2</w:t>
      </w:r>
      <w:r>
        <w:rPr>
          <w:rFonts w:ascii="Segoe UI" w:eastAsiaTheme="minorHAnsi" w:hAnsi="Segoe UI" w:cs="Segoe UI"/>
          <w:b/>
          <w:sz w:val="24"/>
          <w:szCs w:val="24"/>
        </w:rPr>
        <w:t>2 июля 2019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Защита вашей недвижимости: счета </w:t>
      </w:r>
      <w:proofErr w:type="spellStart"/>
      <w:r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компенсационный фонд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выборе площадки строительства покупатель </w:t>
      </w:r>
      <w:proofErr w:type="spellStart"/>
      <w:r>
        <w:rPr>
          <w:rFonts w:ascii="Segoe UI" w:hAnsi="Segoe UI" w:cs="Segoe UI"/>
          <w:sz w:val="24"/>
          <w:szCs w:val="24"/>
        </w:rPr>
        <w:t>долевки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может </w:t>
      </w:r>
      <w:r>
        <w:rPr>
          <w:rFonts w:ascii="Segoe UI" w:hAnsi="Segoe UI" w:cs="Segoe UI"/>
          <w:sz w:val="24"/>
          <w:szCs w:val="24"/>
        </w:rPr>
        <w:t>сразу</w:t>
      </w:r>
      <w:r>
        <w:rPr>
          <w:rFonts w:ascii="Segoe UI" w:hAnsi="Segoe UI" w:cs="Segoe UI"/>
          <w:sz w:val="24"/>
          <w:szCs w:val="24"/>
        </w:rPr>
        <w:t xml:space="preserve"> узнать о том, какой способ привлечения средств дольщиков использует застройщик: счета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компенсационный фонд. О том, как это сделать, рассказали в Управлении Росреестра по Самарской области. 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остаются и отчисления в компенсационный фонд. В связи с этим покупателям новостроек стоит обратить внимание на то, когда застройщик заключил первый договор доле</w:t>
      </w:r>
      <w:r>
        <w:rPr>
          <w:rFonts w:ascii="Segoe UI" w:hAnsi="Segoe UI" w:cs="Segoe UI"/>
          <w:sz w:val="24"/>
          <w:szCs w:val="24"/>
        </w:rPr>
        <w:t xml:space="preserve">вого участия в строительстве, </w:t>
      </w:r>
      <w:r>
        <w:rPr>
          <w:rFonts w:ascii="Segoe UI" w:hAnsi="Segoe UI" w:cs="Segoe UI"/>
          <w:sz w:val="24"/>
          <w:szCs w:val="24"/>
        </w:rPr>
        <w:t>и есть ли у девелопера заключение министерства строительства Самарск</w:t>
      </w:r>
      <w:r>
        <w:rPr>
          <w:rFonts w:ascii="Segoe UI" w:hAnsi="Segoe UI" w:cs="Segoe UI"/>
          <w:sz w:val="24"/>
          <w:szCs w:val="24"/>
        </w:rPr>
        <w:t>ой области, в котором обозначены определенные критерии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, открытых в уполномоченном банке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>. – Аналогичная ситуация касается и других договоров (не первых), которые представлены на регистрацию после первого июля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есть заключение регионального министерства строительства (то есть он </w:t>
      </w:r>
      <w:r>
        <w:rPr>
          <w:rFonts w:ascii="Segoe UI" w:hAnsi="Segoe UI" w:cs="Segoe UI"/>
          <w:sz w:val="24"/>
          <w:szCs w:val="24"/>
        </w:rPr>
        <w:lastRenderedPageBreak/>
        <w:t xml:space="preserve">соответствует установленным 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 Заключение министерства строительства о готовности объекта можно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наш.дом.рф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с </w:t>
      </w:r>
      <w:r>
        <w:rPr>
          <w:rFonts w:ascii="Segoe UI" w:hAnsi="Segoe UI" w:cs="Segoe UI"/>
          <w:sz w:val="24"/>
          <w:szCs w:val="24"/>
        </w:rPr>
        <w:t>первого июля 2019 года изменился порядок обеспечения обязательств застройщика при привлечении средств для долевого строительства.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Все российские девелоперы </w:t>
      </w:r>
      <w:r>
        <w:rPr>
          <w:rFonts w:ascii="Segoe UI" w:hAnsi="Segoe UI" w:cs="Segoe UI"/>
          <w:sz w:val="24"/>
          <w:szCs w:val="24"/>
        </w:rPr>
        <w:t>переходят</w:t>
      </w:r>
      <w:r>
        <w:rPr>
          <w:rFonts w:ascii="Segoe UI" w:hAnsi="Segoe UI" w:cs="Segoe UI"/>
          <w:sz w:val="24"/>
          <w:szCs w:val="24"/>
        </w:rPr>
        <w:t xml:space="preserve"> на схему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-счетов. Средства клиентов зачисляются на специальный банковский счет, и застройщики не смогут получить эти деньги до передачи квартир покупателям. </w:t>
      </w: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 xml:space="preserve">При этом порядок государственной регистрации договоров участия в долевом строительстве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-счетов, перечень необходимых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документов </w:t>
      </w:r>
      <w:r>
        <w:rPr>
          <w:rFonts w:ascii="Segoe UI" w:hAnsi="Segoe UI" w:cs="Segoe UI"/>
          <w:sz w:val="24"/>
          <w:szCs w:val="24"/>
        </w:rPr>
        <w:t>и срок предоставления услуги остался прежним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», - отмечает Сергей Лазарев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Segoe UI" w:eastAsiaTheme="minorHAns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>
      <w:pPr>
        <w:spacing w:after="0" w:line="240" w:lineRule="auto"/>
        <w:jc w:val="both"/>
        <w:rPr>
          <w:rFonts w:ascii="Segoe UI" w:eastAsiaTheme="minorHAnsi" w:hAnsi="Segoe UI" w:cs="Segoe UI"/>
          <w:b/>
          <w:noProof/>
          <w:lang w:eastAsia="sk-SK"/>
        </w:rPr>
      </w:pPr>
      <w:r>
        <w:rPr>
          <w:rFonts w:ascii="Segoe UI" w:eastAsiaTheme="minorHAns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1BA9-3CD9-4D6E-A2E6-21A0FDA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2483</Characters>
  <Application>Microsoft Office Word</Application>
  <DocSecurity>0</DocSecurity>
  <Lines>42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48</cp:revision>
  <cp:lastPrinted>2019-07-19T12:12:00Z</cp:lastPrinted>
  <dcterms:created xsi:type="dcterms:W3CDTF">2019-07-19T11:04:00Z</dcterms:created>
  <dcterms:modified xsi:type="dcterms:W3CDTF">2019-07-19T12:14:00Z</dcterms:modified>
</cp:coreProperties>
</file>